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94FBC" w14:textId="39AE28BE" w:rsidR="002C4616" w:rsidRPr="000207DC" w:rsidRDefault="00883512" w:rsidP="001661D5">
      <w:pPr>
        <w:pStyle w:val="1Title"/>
        <w:spacing w:line="360" w:lineRule="auto"/>
        <w:rPr>
          <w:rFonts w:ascii="Times" w:hAnsi="Times"/>
          <w:sz w:val="30"/>
          <w:szCs w:val="30"/>
        </w:rPr>
      </w:pPr>
      <w:r w:rsidRPr="000207DC">
        <w:rPr>
          <w:rFonts w:ascii="Times" w:hAnsi="Times"/>
          <w:sz w:val="30"/>
          <w:szCs w:val="30"/>
        </w:rPr>
        <w:t>Biological Carbon Capture and Utilization: Current challenges and future aspirations</w:t>
      </w:r>
    </w:p>
    <w:p w14:paraId="695DD8FD" w14:textId="77777777" w:rsidR="001661D5" w:rsidRPr="000207DC" w:rsidRDefault="001661D5" w:rsidP="001661D5">
      <w:pPr>
        <w:pStyle w:val="1Title"/>
        <w:spacing w:line="360" w:lineRule="auto"/>
        <w:rPr>
          <w:rFonts w:ascii="Times" w:hAnsi="Times"/>
          <w:sz w:val="30"/>
          <w:szCs w:val="30"/>
        </w:rPr>
      </w:pPr>
    </w:p>
    <w:p w14:paraId="2904AE33" w14:textId="5A9327CA" w:rsidR="002C4616" w:rsidRPr="000207DC" w:rsidRDefault="00883512" w:rsidP="001661D5">
      <w:pPr>
        <w:pStyle w:val="2Authorname"/>
        <w:spacing w:line="360" w:lineRule="auto"/>
        <w:rPr>
          <w:rFonts w:ascii="Times" w:hAnsi="Times"/>
          <w:sz w:val="26"/>
          <w:szCs w:val="26"/>
        </w:rPr>
      </w:pPr>
      <w:r w:rsidRPr="000207DC">
        <w:rPr>
          <w:rFonts w:ascii="Times" w:eastAsia="맑은 고딕" w:hAnsi="Times" w:cs="맑은 고딕"/>
          <w:sz w:val="26"/>
          <w:szCs w:val="26"/>
        </w:rPr>
        <w:t>Hee-Sik Kim</w:t>
      </w:r>
      <w:bookmarkStart w:id="0" w:name="_GoBack"/>
      <w:bookmarkEnd w:id="0"/>
    </w:p>
    <w:p w14:paraId="339B9845" w14:textId="77777777" w:rsidR="002C4616" w:rsidRPr="000207DC" w:rsidRDefault="002C4616" w:rsidP="001661D5">
      <w:pPr>
        <w:pStyle w:val="2Authorname"/>
        <w:spacing w:line="360" w:lineRule="auto"/>
        <w:rPr>
          <w:rFonts w:ascii="Times" w:hAnsi="Times"/>
          <w:sz w:val="26"/>
          <w:szCs w:val="26"/>
        </w:rPr>
      </w:pPr>
    </w:p>
    <w:p w14:paraId="732D5C51" w14:textId="7A9C8AA5" w:rsidR="00862751" w:rsidRPr="000207DC" w:rsidRDefault="00883512" w:rsidP="001661D5">
      <w:pPr>
        <w:pStyle w:val="3Affiliation"/>
        <w:spacing w:line="360" w:lineRule="auto"/>
        <w:rPr>
          <w:rFonts w:ascii="Times" w:hAnsi="Times"/>
          <w:sz w:val="26"/>
          <w:szCs w:val="26"/>
        </w:rPr>
      </w:pPr>
      <w:r w:rsidRPr="000207DC">
        <w:rPr>
          <w:rFonts w:ascii="Times" w:hAnsi="Times"/>
          <w:sz w:val="26"/>
          <w:szCs w:val="26"/>
        </w:rPr>
        <w:t>Cell Factory Research Center,</w:t>
      </w:r>
      <w:r w:rsidR="00862751" w:rsidRPr="000207DC">
        <w:rPr>
          <w:rFonts w:ascii="Times" w:hAnsi="Times"/>
          <w:sz w:val="26"/>
          <w:szCs w:val="26"/>
        </w:rPr>
        <w:t xml:space="preserve"> </w:t>
      </w:r>
    </w:p>
    <w:p w14:paraId="39D1B58D" w14:textId="451BE512" w:rsidR="002C4616" w:rsidRPr="000207DC" w:rsidRDefault="00427D60" w:rsidP="001661D5">
      <w:pPr>
        <w:pStyle w:val="3Affiliation"/>
        <w:spacing w:line="360" w:lineRule="auto"/>
        <w:rPr>
          <w:rFonts w:ascii="Times" w:hAnsi="Times"/>
          <w:sz w:val="26"/>
          <w:szCs w:val="26"/>
        </w:rPr>
      </w:pPr>
      <w:r w:rsidRPr="000207DC">
        <w:rPr>
          <w:rFonts w:ascii="Times" w:hAnsi="Times"/>
          <w:sz w:val="26"/>
          <w:szCs w:val="26"/>
        </w:rPr>
        <w:t>Korea Research Institute of Bioscience and Biotechnology, Daejeon, Korea</w:t>
      </w:r>
    </w:p>
    <w:p w14:paraId="5A2FAF24" w14:textId="77777777" w:rsidR="001661D5" w:rsidRPr="001661D5" w:rsidRDefault="001661D5" w:rsidP="001661D5">
      <w:pPr>
        <w:pStyle w:val="3Affiliation"/>
        <w:spacing w:line="360" w:lineRule="auto"/>
        <w:rPr>
          <w:rFonts w:ascii="Times" w:eastAsiaTheme="minorEastAsia" w:hAnsi="Times" w:hint="eastAsia"/>
        </w:rPr>
      </w:pPr>
    </w:p>
    <w:p w14:paraId="3D2EA5CF" w14:textId="77777777" w:rsidR="00427D60" w:rsidRPr="00883512" w:rsidRDefault="00427D60" w:rsidP="001661D5">
      <w:pPr>
        <w:pStyle w:val="3Affiliation"/>
        <w:spacing w:line="480" w:lineRule="auto"/>
        <w:rPr>
          <w:rFonts w:ascii="Times" w:eastAsiaTheme="minorEastAsia" w:hAnsi="Times" w:hint="eastAsia"/>
        </w:rPr>
      </w:pPr>
    </w:p>
    <w:p w14:paraId="419BC9E5" w14:textId="0569A85F" w:rsidR="00427D60" w:rsidRPr="000207DC" w:rsidRDefault="001661D5" w:rsidP="001661D5">
      <w:pPr>
        <w:pStyle w:val="3Affiliation"/>
        <w:spacing w:line="480" w:lineRule="auto"/>
        <w:jc w:val="both"/>
        <w:rPr>
          <w:rFonts w:ascii="Times" w:eastAsiaTheme="minorEastAsia" w:hAnsi="Times" w:hint="eastAsia"/>
          <w:i w:val="0"/>
        </w:rPr>
      </w:pPr>
      <w:r>
        <w:rPr>
          <w:rFonts w:ascii="Times" w:hAnsi="Times"/>
          <w:i w:val="0"/>
        </w:rPr>
        <w:t xml:space="preserve">Increasing global demands for </w:t>
      </w:r>
      <w:r w:rsidR="000207DC">
        <w:rPr>
          <w:rFonts w:ascii="Times" w:hAnsi="Times"/>
          <w:i w:val="0"/>
        </w:rPr>
        <w:t xml:space="preserve">carbon neutral technologies have rekindled interests in carbon capture and utilization (CCU), through which atmospheric or industrial carbon sources can be converted into marketable commodities. </w:t>
      </w:r>
      <w:r w:rsidR="00351844">
        <w:rPr>
          <w:rFonts w:ascii="Times" w:hAnsi="Times"/>
          <w:i w:val="0"/>
        </w:rPr>
        <w:t>However, c</w:t>
      </w:r>
      <w:r w:rsidR="000207DC">
        <w:rPr>
          <w:rFonts w:ascii="Times" w:eastAsiaTheme="minorEastAsia" w:hAnsi="Times"/>
          <w:i w:val="0"/>
        </w:rPr>
        <w:t>ompared to carbon capture and storage (CCS), CCU</w:t>
      </w:r>
      <w:r w:rsidR="00351844">
        <w:rPr>
          <w:rFonts w:ascii="Times" w:eastAsiaTheme="minorEastAsia" w:hAnsi="Times"/>
          <w:i w:val="0"/>
        </w:rPr>
        <w:t xml:space="preserve"> is generally considered far from deployable at the industrial scale, partially because of challenges associated with developing unanimously agreed operation scenarios as well as lack of </w:t>
      </w:r>
      <w:r w:rsidR="007F18B1">
        <w:rPr>
          <w:rFonts w:ascii="Times" w:eastAsiaTheme="minorEastAsia" w:hAnsi="Times"/>
          <w:i w:val="0"/>
        </w:rPr>
        <w:t xml:space="preserve">large-scale demonstrations. Of different CCU technologies, bioCCU, which hinges upon the use of </w:t>
      </w:r>
      <w:r w:rsidR="00320B0F">
        <w:rPr>
          <w:rFonts w:ascii="Times" w:eastAsiaTheme="minorEastAsia" w:hAnsi="Times"/>
          <w:i w:val="0"/>
        </w:rPr>
        <w:t>biological</w:t>
      </w:r>
      <w:r w:rsidR="007F18B1">
        <w:rPr>
          <w:rFonts w:ascii="Times" w:eastAsiaTheme="minorEastAsia" w:hAnsi="Times"/>
          <w:i w:val="0"/>
        </w:rPr>
        <w:t xml:space="preserve"> organisms (i.e., microbes, plants, microalgae) in carbon sequestration and/or utilization, bears strong potential </w:t>
      </w:r>
      <w:r w:rsidR="00BF4500">
        <w:rPr>
          <w:rFonts w:ascii="Times" w:eastAsiaTheme="minorEastAsia" w:hAnsi="Times"/>
          <w:i w:val="0"/>
        </w:rPr>
        <w:t>due to</w:t>
      </w:r>
      <w:r w:rsidR="007F18B1">
        <w:rPr>
          <w:rFonts w:ascii="Times" w:eastAsiaTheme="minorEastAsia" w:hAnsi="Times"/>
          <w:i w:val="0"/>
        </w:rPr>
        <w:t xml:space="preserve"> (1) a wide array of recoverable products that could ultimately substitute petrochemicals (2) the possible flexible design of the entire production chain based on organismal and metabolic diversity, which could be</w:t>
      </w:r>
      <w:r w:rsidR="00320B0F">
        <w:rPr>
          <w:rFonts w:ascii="Times" w:eastAsiaTheme="minorEastAsia" w:hAnsi="Times"/>
          <w:i w:val="0"/>
        </w:rPr>
        <w:t xml:space="preserve"> further</w:t>
      </w:r>
      <w:r w:rsidR="007F18B1">
        <w:rPr>
          <w:rFonts w:ascii="Times" w:eastAsiaTheme="minorEastAsia" w:hAnsi="Times"/>
          <w:i w:val="0"/>
        </w:rPr>
        <w:t xml:space="preserve"> empowered by </w:t>
      </w:r>
      <w:r w:rsidR="00320B0F">
        <w:rPr>
          <w:rFonts w:ascii="Times" w:eastAsiaTheme="minorEastAsia" w:hAnsi="Times"/>
          <w:i w:val="0"/>
        </w:rPr>
        <w:t xml:space="preserve">synthetic biology and </w:t>
      </w:r>
      <w:r w:rsidR="007F18B1">
        <w:rPr>
          <w:rFonts w:ascii="Times" w:eastAsiaTheme="minorEastAsia" w:hAnsi="Times"/>
          <w:i w:val="0"/>
        </w:rPr>
        <w:t>metabolic engineering.</w:t>
      </w:r>
      <w:r w:rsidR="00D30EC8">
        <w:rPr>
          <w:rFonts w:ascii="Times" w:eastAsiaTheme="minorEastAsia" w:hAnsi="Times"/>
          <w:i w:val="0"/>
        </w:rPr>
        <w:t xml:space="preserve"> This year</w:t>
      </w:r>
      <w:r w:rsidR="002C35F4">
        <w:rPr>
          <w:rFonts w:ascii="Times" w:eastAsiaTheme="minorEastAsia" w:hAnsi="Times"/>
          <w:i w:val="0"/>
        </w:rPr>
        <w:t>, KRIBB’s Carbon Neutrality Task Force (CNTF)</w:t>
      </w:r>
      <w:r w:rsidR="002C35F4">
        <w:rPr>
          <w:rFonts w:ascii="Times" w:eastAsiaTheme="minorEastAsia" w:hAnsi="Times" w:hint="eastAsia"/>
          <w:i w:val="0"/>
        </w:rPr>
        <w:t xml:space="preserve"> </w:t>
      </w:r>
      <w:r w:rsidR="002C35F4">
        <w:rPr>
          <w:rFonts w:ascii="Times" w:eastAsiaTheme="minorEastAsia" w:hAnsi="Times"/>
          <w:i w:val="0"/>
        </w:rPr>
        <w:t xml:space="preserve">has identified the areas where R&amp;D efforts should be focused as well as </w:t>
      </w:r>
      <w:r w:rsidR="00F6720C">
        <w:rPr>
          <w:rFonts w:ascii="Times" w:eastAsiaTheme="minorEastAsia" w:hAnsi="Times"/>
          <w:i w:val="0"/>
        </w:rPr>
        <w:t>an outline for actionable transdisciplinary research proposal</w:t>
      </w:r>
      <w:r w:rsidR="002C35F4">
        <w:rPr>
          <w:rFonts w:ascii="Times" w:eastAsiaTheme="minorEastAsia" w:hAnsi="Times"/>
          <w:i w:val="0"/>
        </w:rPr>
        <w:t>.</w:t>
      </w:r>
      <w:r w:rsidR="00F6720C">
        <w:rPr>
          <w:rFonts w:ascii="Times" w:eastAsiaTheme="minorEastAsia" w:hAnsi="Times"/>
          <w:i w:val="0"/>
        </w:rPr>
        <w:t xml:space="preserve"> </w:t>
      </w:r>
      <w:r w:rsidR="0074568F">
        <w:rPr>
          <w:rFonts w:ascii="Times" w:eastAsiaTheme="minorEastAsia" w:hAnsi="Times"/>
          <w:i w:val="0"/>
        </w:rPr>
        <w:t xml:space="preserve">While CNTF acknowledges </w:t>
      </w:r>
      <w:r w:rsidR="002C35F4">
        <w:rPr>
          <w:rFonts w:ascii="Times" w:eastAsiaTheme="minorEastAsia" w:hAnsi="Times"/>
          <w:i w:val="0"/>
        </w:rPr>
        <w:t xml:space="preserve">microalgae </w:t>
      </w:r>
      <w:r w:rsidR="0074568F">
        <w:rPr>
          <w:rFonts w:ascii="Times" w:eastAsiaTheme="minorEastAsia" w:hAnsi="Times"/>
          <w:i w:val="0"/>
        </w:rPr>
        <w:t xml:space="preserve">as </w:t>
      </w:r>
      <w:r w:rsidR="0037383C">
        <w:rPr>
          <w:rFonts w:ascii="Times" w:eastAsiaTheme="minorEastAsia" w:hAnsi="Times"/>
          <w:i w:val="0"/>
        </w:rPr>
        <w:t xml:space="preserve">the most promising bioresource for </w:t>
      </w:r>
      <w:r w:rsidR="0074568F">
        <w:rPr>
          <w:rFonts w:ascii="Times" w:eastAsiaTheme="minorEastAsia" w:hAnsi="Times"/>
          <w:i w:val="0"/>
        </w:rPr>
        <w:t xml:space="preserve">direct </w:t>
      </w:r>
      <w:r w:rsidR="0037383C">
        <w:rPr>
          <w:rFonts w:ascii="Times" w:eastAsiaTheme="minorEastAsia" w:hAnsi="Times"/>
          <w:i w:val="0"/>
        </w:rPr>
        <w:t xml:space="preserve">carbon sequestration, </w:t>
      </w:r>
      <w:r w:rsidR="0074568F">
        <w:rPr>
          <w:rFonts w:ascii="Times" w:eastAsiaTheme="minorEastAsia" w:hAnsi="Times"/>
          <w:i w:val="0"/>
        </w:rPr>
        <w:t>it should be also emphasized</w:t>
      </w:r>
      <w:r w:rsidR="0037383C">
        <w:rPr>
          <w:rFonts w:ascii="Times" w:eastAsiaTheme="minorEastAsia" w:hAnsi="Times"/>
          <w:i w:val="0"/>
        </w:rPr>
        <w:t xml:space="preserve"> that the effective design</w:t>
      </w:r>
      <w:r w:rsidR="0074568F">
        <w:rPr>
          <w:rFonts w:ascii="Times" w:eastAsiaTheme="minorEastAsia" w:hAnsi="Times"/>
          <w:i w:val="0"/>
        </w:rPr>
        <w:t xml:space="preserve"> and demonstration</w:t>
      </w:r>
      <w:r w:rsidR="0037383C">
        <w:rPr>
          <w:rFonts w:ascii="Times" w:eastAsiaTheme="minorEastAsia" w:hAnsi="Times"/>
          <w:i w:val="0"/>
        </w:rPr>
        <w:t xml:space="preserve"> of biomass-based refineries involving microbes and plants </w:t>
      </w:r>
      <w:r w:rsidR="0074568F">
        <w:rPr>
          <w:rFonts w:ascii="Times" w:eastAsiaTheme="minorEastAsia" w:hAnsi="Times"/>
          <w:i w:val="0"/>
        </w:rPr>
        <w:t xml:space="preserve">is </w:t>
      </w:r>
      <w:r w:rsidR="0037383C">
        <w:rPr>
          <w:rFonts w:ascii="Times" w:eastAsiaTheme="minorEastAsia" w:hAnsi="Times"/>
          <w:i w:val="0"/>
        </w:rPr>
        <w:t>a key to the success of integrated bioCCU, which is projected to sequester 5 million metric tons of GHG (CO</w:t>
      </w:r>
      <w:r w:rsidR="0037383C" w:rsidRPr="0037383C">
        <w:rPr>
          <w:rFonts w:ascii="Times" w:eastAsiaTheme="minorEastAsia" w:hAnsi="Times"/>
          <w:i w:val="0"/>
          <w:vertAlign w:val="subscript"/>
        </w:rPr>
        <w:t>2</w:t>
      </w:r>
      <w:r w:rsidR="0037383C">
        <w:rPr>
          <w:rFonts w:ascii="Times" w:eastAsiaTheme="minorEastAsia" w:hAnsi="Times"/>
          <w:i w:val="0"/>
        </w:rPr>
        <w:t xml:space="preserve"> equivalent) annually by 2050.</w:t>
      </w:r>
      <w:r w:rsidR="000207DC">
        <w:rPr>
          <w:rFonts w:ascii="Times" w:eastAsiaTheme="minorEastAsia" w:hAnsi="Times"/>
          <w:i w:val="0"/>
        </w:rPr>
        <w:t xml:space="preserve"> </w:t>
      </w:r>
    </w:p>
    <w:sectPr w:rsidR="00427D60" w:rsidRPr="000207D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3F0963" w14:textId="77777777" w:rsidR="003047BA" w:rsidRDefault="003047BA" w:rsidP="00862751">
      <w:r>
        <w:separator/>
      </w:r>
    </w:p>
  </w:endnote>
  <w:endnote w:type="continuationSeparator" w:id="0">
    <w:p w14:paraId="1890D1ED" w14:textId="77777777" w:rsidR="003047BA" w:rsidRDefault="003047BA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F73FB1" w14:textId="77777777" w:rsidR="003047BA" w:rsidRDefault="003047BA" w:rsidP="00862751">
      <w:r>
        <w:separator/>
      </w:r>
    </w:p>
  </w:footnote>
  <w:footnote w:type="continuationSeparator" w:id="0">
    <w:p w14:paraId="137951BF" w14:textId="77777777" w:rsidR="003047BA" w:rsidRDefault="003047BA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207DC"/>
    <w:rsid w:val="001661D5"/>
    <w:rsid w:val="002C35F4"/>
    <w:rsid w:val="002C4616"/>
    <w:rsid w:val="003047BA"/>
    <w:rsid w:val="00320B0F"/>
    <w:rsid w:val="00351844"/>
    <w:rsid w:val="0037383C"/>
    <w:rsid w:val="00401762"/>
    <w:rsid w:val="00412F5D"/>
    <w:rsid w:val="00427D60"/>
    <w:rsid w:val="004E525A"/>
    <w:rsid w:val="004F1098"/>
    <w:rsid w:val="00677F58"/>
    <w:rsid w:val="006C0EC5"/>
    <w:rsid w:val="0074568F"/>
    <w:rsid w:val="007938AA"/>
    <w:rsid w:val="007F18B1"/>
    <w:rsid w:val="00862751"/>
    <w:rsid w:val="00883512"/>
    <w:rsid w:val="008915FF"/>
    <w:rsid w:val="0091342B"/>
    <w:rsid w:val="00AA6E39"/>
    <w:rsid w:val="00B211C6"/>
    <w:rsid w:val="00B524B5"/>
    <w:rsid w:val="00BF4500"/>
    <w:rsid w:val="00C0615F"/>
    <w:rsid w:val="00C50B48"/>
    <w:rsid w:val="00C61018"/>
    <w:rsid w:val="00D30EC8"/>
    <w:rsid w:val="00F6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41A64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2</cp:revision>
  <dcterms:created xsi:type="dcterms:W3CDTF">2021-11-02T02:29:00Z</dcterms:created>
  <dcterms:modified xsi:type="dcterms:W3CDTF">2021-11-02T02:29:00Z</dcterms:modified>
</cp:coreProperties>
</file>