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9D340" w14:textId="2C66BE2F" w:rsidR="002C4616" w:rsidRDefault="0046585E" w:rsidP="002C4616">
      <w:pPr>
        <w:pStyle w:val="1Title"/>
        <w:spacing w:line="360" w:lineRule="auto"/>
        <w:rPr>
          <w:sz w:val="32"/>
        </w:rPr>
      </w:pPr>
      <w:r>
        <w:rPr>
          <w:sz w:val="32"/>
        </w:rPr>
        <w:t xml:space="preserve">Design, </w:t>
      </w:r>
      <w:proofErr w:type="gramStart"/>
      <w:r>
        <w:rPr>
          <w:sz w:val="32"/>
        </w:rPr>
        <w:t>characterization</w:t>
      </w:r>
      <w:proofErr w:type="gramEnd"/>
      <w:r>
        <w:rPr>
          <w:sz w:val="32"/>
        </w:rPr>
        <w:t xml:space="preserve"> and application of C1 gas catalyzing enzyme</w:t>
      </w:r>
    </w:p>
    <w:p w14:paraId="244A0FB3" w14:textId="77777777"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14:paraId="48490A83" w14:textId="36CA20BD" w:rsidR="002C4616" w:rsidRPr="002C4616" w:rsidRDefault="0046585E" w:rsidP="002C4616">
      <w:pPr>
        <w:pStyle w:val="2Authorname"/>
        <w:spacing w:line="360" w:lineRule="auto"/>
        <w:rPr>
          <w:sz w:val="28"/>
        </w:rPr>
      </w:pPr>
      <w:r>
        <w:rPr>
          <w:sz w:val="28"/>
        </w:rPr>
        <w:t>Yong Hwan Kim</w:t>
      </w:r>
    </w:p>
    <w:p w14:paraId="35251E2E" w14:textId="77777777" w:rsidR="002C4616" w:rsidRPr="003354FE" w:rsidRDefault="002C4616" w:rsidP="002C4616">
      <w:pPr>
        <w:pStyle w:val="2Authorname"/>
        <w:spacing w:line="360" w:lineRule="auto"/>
      </w:pPr>
    </w:p>
    <w:p w14:paraId="6C039556" w14:textId="46CBA9CA" w:rsidR="00862751" w:rsidRDefault="0046585E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School of Energy and Chemical Engineering</w:t>
      </w:r>
      <w:r w:rsidR="00862751">
        <w:rPr>
          <w:sz w:val="28"/>
        </w:rPr>
        <w:t xml:space="preserve">, </w:t>
      </w:r>
    </w:p>
    <w:p w14:paraId="60850125" w14:textId="4A98E626" w:rsidR="002C4616" w:rsidRPr="002C4616" w:rsidRDefault="0046585E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Ulsan National Institute of Science and Technology, Ulsan, Korea</w:t>
      </w:r>
    </w:p>
    <w:p w14:paraId="6989E0D9" w14:textId="77777777"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6983E110" w14:textId="1C0457FE" w:rsidR="00427D60" w:rsidRPr="0046585E" w:rsidRDefault="0046585E" w:rsidP="0046585E">
      <w:pPr>
        <w:pStyle w:val="Teaser"/>
        <w:spacing w:line="360" w:lineRule="auto"/>
        <w:jc w:val="both"/>
      </w:pPr>
      <w:bookmarkStart w:id="0" w:name="_Hlk46239400"/>
      <w:r>
        <w:rPr>
          <w:color w:val="000000" w:themeColor="text1"/>
        </w:rPr>
        <w:t>E</w:t>
      </w:r>
      <w:r w:rsidRPr="000C3C3A">
        <w:rPr>
          <w:color w:val="000000" w:themeColor="text1"/>
        </w:rPr>
        <w:t>lectrochemical reduction of CO</w:t>
      </w:r>
      <w:r w:rsidRPr="000C3C3A">
        <w:rPr>
          <w:color w:val="000000" w:themeColor="text1"/>
          <w:vertAlign w:val="subscript"/>
        </w:rPr>
        <w:t>2</w:t>
      </w:r>
      <w:r w:rsidRPr="000C3C3A">
        <w:rPr>
          <w:color w:val="000000" w:themeColor="text1"/>
        </w:rPr>
        <w:t xml:space="preserve"> is a </w:t>
      </w:r>
      <w:r>
        <w:rPr>
          <w:color w:val="000000" w:themeColor="text1"/>
        </w:rPr>
        <w:t xml:space="preserve">key </w:t>
      </w:r>
      <w:r w:rsidRPr="000C3C3A">
        <w:rPr>
          <w:color w:val="000000" w:themeColor="text1"/>
        </w:rPr>
        <w:t xml:space="preserve">technology </w:t>
      </w:r>
      <w:r>
        <w:rPr>
          <w:color w:val="000000" w:themeColor="text1"/>
        </w:rPr>
        <w:t>to</w:t>
      </w:r>
      <w:r w:rsidRPr="000C3C3A">
        <w:rPr>
          <w:color w:val="000000" w:themeColor="text1"/>
        </w:rPr>
        <w:t xml:space="preserve"> </w:t>
      </w:r>
      <w:r>
        <w:rPr>
          <w:color w:val="000000" w:themeColor="text1"/>
        </w:rPr>
        <w:t>its fixation</w:t>
      </w:r>
      <w:r w:rsidRPr="000C3C3A">
        <w:rPr>
          <w:color w:val="000000" w:themeColor="text1"/>
        </w:rPr>
        <w:t xml:space="preserve"> </w:t>
      </w:r>
      <w:r>
        <w:rPr>
          <w:color w:val="000000" w:themeColor="text1"/>
        </w:rPr>
        <w:t>and use in the</w:t>
      </w:r>
      <w:r w:rsidRPr="000C3C3A">
        <w:rPr>
          <w:color w:val="000000" w:themeColor="text1"/>
        </w:rPr>
        <w:t xml:space="preserve"> production </w:t>
      </w:r>
      <w:r>
        <w:rPr>
          <w:color w:val="000000" w:themeColor="text1"/>
        </w:rPr>
        <w:t xml:space="preserve">of </w:t>
      </w:r>
      <w:r w:rsidRPr="000C3C3A">
        <w:rPr>
          <w:color w:val="000000" w:themeColor="text1"/>
        </w:rPr>
        <w:t xml:space="preserve">various chemicals. Among </w:t>
      </w:r>
      <w:r>
        <w:rPr>
          <w:color w:val="000000" w:themeColor="text1"/>
        </w:rPr>
        <w:t>them</w:t>
      </w:r>
      <w:r w:rsidRPr="000C3C3A">
        <w:rPr>
          <w:color w:val="000000" w:themeColor="text1"/>
        </w:rPr>
        <w:t xml:space="preserve">, formate </w:t>
      </w:r>
      <w:r w:rsidRPr="000C3C3A">
        <w:t xml:space="preserve">is attractive </w:t>
      </w:r>
      <w:r>
        <w:t xml:space="preserve">because its production </w:t>
      </w:r>
      <w:r>
        <w:rPr>
          <w:color w:val="000000" w:themeColor="text1"/>
        </w:rPr>
        <w:t xml:space="preserve">from </w:t>
      </w:r>
      <w:r w:rsidRPr="000C3C3A">
        <w:rPr>
          <w:color w:val="000000" w:themeColor="text1"/>
        </w:rPr>
        <w:t>CO</w:t>
      </w:r>
      <w:r w:rsidRPr="000C3C3A">
        <w:rPr>
          <w:color w:val="000000" w:themeColor="text1"/>
          <w:vertAlign w:val="subscript"/>
        </w:rPr>
        <w:t>2</w:t>
      </w:r>
      <w:r>
        <w:t xml:space="preserve"> is low-energy-intensive and</w:t>
      </w:r>
      <w:r w:rsidRPr="001E4E05">
        <w:t xml:space="preserve"> </w:t>
      </w:r>
      <w:r>
        <w:t>technically simple. Formate production per annum currently is over 720,000 tons, formate having well established applications in</w:t>
      </w:r>
      <w:r w:rsidRPr="000C3C3A">
        <w:t xml:space="preserve"> </w:t>
      </w:r>
      <w:r>
        <w:t xml:space="preserve">the </w:t>
      </w:r>
      <w:r w:rsidRPr="000C3C3A">
        <w:t xml:space="preserve">chemical and agricultural industries. </w:t>
      </w:r>
      <w:r>
        <w:t>More importantly</w:t>
      </w:r>
      <w:r w:rsidRPr="000C3C3A">
        <w:t xml:space="preserve">, </w:t>
      </w:r>
      <w:r>
        <w:t>formate/formic acid</w:t>
      </w:r>
      <w:r w:rsidRPr="000C3C3A">
        <w:t xml:space="preserve"> </w:t>
      </w:r>
      <w:r>
        <w:t>is considered</w:t>
      </w:r>
      <w:r w:rsidRPr="000C3C3A">
        <w:t xml:space="preserve"> a promising hydrogen carrier</w:t>
      </w:r>
      <w:r>
        <w:t xml:space="preserve"> due to its condensed nature</w:t>
      </w:r>
      <w:r w:rsidRPr="000C3C3A">
        <w:t xml:space="preserve">. In </w:t>
      </w:r>
      <w:r>
        <w:t>comparison</w:t>
      </w:r>
      <w:r w:rsidRPr="000C3C3A">
        <w:t>, biocatalyst</w:t>
      </w:r>
      <w:r>
        <w:t>s,</w:t>
      </w:r>
      <w:r w:rsidRPr="000C3C3A">
        <w:t xml:space="preserve"> </w:t>
      </w:r>
      <w:r>
        <w:t xml:space="preserve">e.g., microbial </w:t>
      </w:r>
      <w:r w:rsidRPr="000C3C3A">
        <w:t>formate dehydrogenase (FDH)</w:t>
      </w:r>
      <w:r>
        <w:t>, shows a</w:t>
      </w:r>
      <w:r w:rsidRPr="000C3C3A">
        <w:t xml:space="preserve"> high</w:t>
      </w:r>
      <w:r>
        <w:t>er</w:t>
      </w:r>
      <w:r w:rsidRPr="000C3C3A">
        <w:t xml:space="preserve"> turnover frequency</w:t>
      </w:r>
      <w:r>
        <w:t xml:space="preserve">, better </w:t>
      </w:r>
      <w:r w:rsidRPr="000C3C3A">
        <w:t>selectivity with near-unity Faradaic efficiency</w:t>
      </w:r>
      <w:r>
        <w:t>, and a</w:t>
      </w:r>
      <w:r w:rsidRPr="000C3C3A">
        <w:t xml:space="preserve"> low</w:t>
      </w:r>
      <w:r>
        <w:t>er</w:t>
      </w:r>
      <w:r w:rsidRPr="000C3C3A">
        <w:t xml:space="preserve"> overpotential</w:t>
      </w:r>
      <w:r>
        <w:t>. Furthermore</w:t>
      </w:r>
      <w:r w:rsidRPr="000C3C3A">
        <w:t xml:space="preserve">, </w:t>
      </w:r>
      <w:r>
        <w:t>enzymatic reactions</w:t>
      </w:r>
      <w:r w:rsidRPr="000C3C3A">
        <w:t xml:space="preserve"> </w:t>
      </w:r>
      <w:r>
        <w:t xml:space="preserve">require more </w:t>
      </w:r>
      <w:r w:rsidRPr="000C3C3A">
        <w:t xml:space="preserve">benign </w:t>
      </w:r>
      <w:r>
        <w:t>operating</w:t>
      </w:r>
      <w:r w:rsidRPr="000C3C3A">
        <w:t xml:space="preserve"> conditions. </w:t>
      </w:r>
      <w:r>
        <w:t>Nevertheless</w:t>
      </w:r>
      <w:r w:rsidRPr="00667AE5">
        <w:t xml:space="preserve">, </w:t>
      </w:r>
      <w:r>
        <w:t xml:space="preserve">formate production by FDH, since the first report in 1980, </w:t>
      </w:r>
      <w:r w:rsidRPr="00667AE5">
        <w:t xml:space="preserve">has progressed </w:t>
      </w:r>
      <w:r>
        <w:t>rather</w:t>
      </w:r>
      <w:r w:rsidRPr="00667AE5">
        <w:t xml:space="preserve"> slowly </w:t>
      </w:r>
      <w:r>
        <w:t>relative to that by chemical catalysts. Moreover, the production has been limited</w:t>
      </w:r>
      <w:r w:rsidRPr="000C3C3A">
        <w:t xml:space="preserve"> </w:t>
      </w:r>
      <w:r>
        <w:t>to laboratory scales at mM or sub-mM levels, due to inherent drawbacks of</w:t>
      </w:r>
      <w:r w:rsidRPr="00FD3CF3">
        <w:t xml:space="preserve"> </w:t>
      </w:r>
      <w:r>
        <w:t>FDH such as fast reverse reaction, high O</w:t>
      </w:r>
      <w:r w:rsidRPr="00772312">
        <w:rPr>
          <w:vertAlign w:val="subscript"/>
        </w:rPr>
        <w:t>2</w:t>
      </w:r>
      <w:r>
        <w:t>-sensitivity</w:t>
      </w:r>
      <w:r w:rsidRPr="00FD794B">
        <w:t xml:space="preserve"> </w:t>
      </w:r>
      <w:r>
        <w:t>of the enzyme, and/or feedback inhibition by the product formate</w:t>
      </w:r>
      <w:r w:rsidRPr="000C3C3A">
        <w:t>.</w:t>
      </w:r>
      <w:bookmarkEnd w:id="0"/>
      <w:r>
        <w:t xml:space="preserve"> </w:t>
      </w:r>
      <w:r w:rsidRPr="004C6FD5">
        <w:t xml:space="preserve">Here, we </w:t>
      </w:r>
      <w:r>
        <w:t>report</w:t>
      </w:r>
      <w:r w:rsidRPr="004C6FD5">
        <w:t xml:space="preserve"> efficient and scalable production of formate on a molar </w:t>
      </w:r>
      <w:r>
        <w:t xml:space="preserve">concentration </w:t>
      </w:r>
      <w:r w:rsidRPr="004C6FD5">
        <w:t xml:space="preserve">level </w:t>
      </w:r>
      <w:r>
        <w:t>by electrochemical reduction of pure CO</w:t>
      </w:r>
      <w:r w:rsidRPr="001600A7">
        <w:rPr>
          <w:vertAlign w:val="subscript"/>
        </w:rPr>
        <w:t>2</w:t>
      </w:r>
      <w:r>
        <w:t xml:space="preserve"> and even real waste gas of steel mill </w:t>
      </w:r>
      <w:r w:rsidRPr="004C6FD5">
        <w:t xml:space="preserve">using a </w:t>
      </w:r>
      <w:r>
        <w:t>formate dehydrogenase (</w:t>
      </w:r>
      <w:r w:rsidRPr="004C6FD5">
        <w:t>FDH</w:t>
      </w:r>
      <w:r>
        <w:t>)</w:t>
      </w:r>
      <w:r w:rsidRPr="004C6FD5">
        <w:t xml:space="preserve"> from </w:t>
      </w:r>
      <w:r w:rsidRPr="004C6FD5">
        <w:rPr>
          <w:i/>
          <w:iCs/>
        </w:rPr>
        <w:t>Methylobacterium extorquens</w:t>
      </w:r>
      <w:r w:rsidRPr="004C6FD5">
        <w:t xml:space="preserve"> AM1 (MeFDH1). Electrochemical analyses suggest that MeFDH1’s high affinity for reduced electron mediators, limited reversibility, low product inhibition, and high O</w:t>
      </w:r>
      <w:r w:rsidRPr="004C6FD5">
        <w:rPr>
          <w:vertAlign w:val="subscript"/>
        </w:rPr>
        <w:t>2</w:t>
      </w:r>
      <w:r w:rsidRPr="004C6FD5">
        <w:t>-tolerance allow for such remarkable utility.</w:t>
      </w:r>
      <w:r>
        <w:t xml:space="preserve"> </w:t>
      </w:r>
      <w:r w:rsidRPr="004C6FD5">
        <w:t xml:space="preserve">Cryo-electron microscopy reveals that the enzyme has a heterodimeric structure with a noncanonical active site and well-protected Fe-S clusters in a redox chain. Density functional theory calculations suggest that tungsten—which is rarely utilized in heterogeneous </w:t>
      </w:r>
      <w:r>
        <w:t xml:space="preserve">inorganic </w:t>
      </w:r>
      <w:r w:rsidRPr="004C6FD5">
        <w:t xml:space="preserve">catalysis—acts as an electron reservoir and that the surrounding Arg and </w:t>
      </w:r>
      <w:proofErr w:type="spellStart"/>
      <w:r w:rsidRPr="004C6FD5">
        <w:t>Cys</w:t>
      </w:r>
      <w:proofErr w:type="spellEnd"/>
      <w:r w:rsidRPr="004C6FD5">
        <w:t xml:space="preserve"> residues serve as CO</w:t>
      </w:r>
      <w:r w:rsidRPr="004C6FD5">
        <w:rPr>
          <w:vertAlign w:val="subscript"/>
        </w:rPr>
        <w:t>2</w:t>
      </w:r>
      <w:r w:rsidRPr="004C6FD5">
        <w:t xml:space="preserve"> binding/activating ligands, both of which are essential for efficient CO</w:t>
      </w:r>
      <w:r w:rsidRPr="004C6FD5">
        <w:rPr>
          <w:vertAlign w:val="subscript"/>
        </w:rPr>
        <w:t>2</w:t>
      </w:r>
      <w:r w:rsidRPr="004C6FD5">
        <w:t xml:space="preserve"> reduction.</w:t>
      </w:r>
    </w:p>
    <w:sectPr w:rsidR="00427D60" w:rsidRPr="0046585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AD638" w14:textId="77777777" w:rsidR="00DA7D64" w:rsidRDefault="00DA7D64" w:rsidP="00862751">
      <w:r>
        <w:separator/>
      </w:r>
    </w:p>
  </w:endnote>
  <w:endnote w:type="continuationSeparator" w:id="0">
    <w:p w14:paraId="01699434" w14:textId="77777777" w:rsidR="00DA7D64" w:rsidRDefault="00DA7D64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38B03" w14:textId="77777777" w:rsidR="00DA7D64" w:rsidRDefault="00DA7D64" w:rsidP="00862751">
      <w:r>
        <w:separator/>
      </w:r>
    </w:p>
  </w:footnote>
  <w:footnote w:type="continuationSeparator" w:id="0">
    <w:p w14:paraId="5682C5FF" w14:textId="77777777" w:rsidR="00DA7D64" w:rsidRDefault="00DA7D64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2C4616"/>
    <w:rsid w:val="00401762"/>
    <w:rsid w:val="00427D60"/>
    <w:rsid w:val="0046585E"/>
    <w:rsid w:val="004C53F4"/>
    <w:rsid w:val="004E525A"/>
    <w:rsid w:val="004F1098"/>
    <w:rsid w:val="007938AA"/>
    <w:rsid w:val="00862751"/>
    <w:rsid w:val="008915FF"/>
    <w:rsid w:val="0091342B"/>
    <w:rsid w:val="00AA6E39"/>
    <w:rsid w:val="00B211C6"/>
    <w:rsid w:val="00B524B5"/>
    <w:rsid w:val="00C61018"/>
    <w:rsid w:val="00DA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D42B6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Acknowledgement">
    <w:name w:val="Acknowledgement"/>
    <w:basedOn w:val="a"/>
    <w:rsid w:val="0046585E"/>
    <w:pPr>
      <w:spacing w:before="120"/>
      <w:ind w:left="720" w:hanging="720"/>
    </w:pPr>
    <w:rPr>
      <w:rFonts w:ascii="Times New Roman" w:eastAsia="Times New Roman" w:hAnsi="Times New Roman"/>
      <w:color w:val="auto"/>
      <w:sz w:val="24"/>
      <w:szCs w:val="24"/>
      <w:lang w:val="en-US"/>
    </w:rPr>
  </w:style>
  <w:style w:type="paragraph" w:customStyle="1" w:styleId="Teaser">
    <w:name w:val="Teaser"/>
    <w:basedOn w:val="a"/>
    <w:rsid w:val="0046585E"/>
    <w:pPr>
      <w:spacing w:before="120"/>
    </w:pPr>
    <w:rPr>
      <w:rFonts w:ascii="Times New Roman" w:eastAsia="Times New Roman" w:hAnsi="Times New Roman"/>
      <w:color w:val="auto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Kim Yong Hwan</cp:lastModifiedBy>
  <cp:revision>2</cp:revision>
  <dcterms:created xsi:type="dcterms:W3CDTF">2021-10-27T08:02:00Z</dcterms:created>
  <dcterms:modified xsi:type="dcterms:W3CDTF">2021-10-27T08:02:00Z</dcterms:modified>
</cp:coreProperties>
</file>